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spacing w:before="240" w:after="120"/>
        <w:rPr>
          <w:b/>
          <w:sz w:val="36"/>
          <w:color w:val="16243F"/>
          <w:rFonts w:ascii="Arial" w:hAnsi="Arial"/>
        </w:rPr>
      </w:pPr>
      <w:r>
        <w:rPr>
          <w:rFonts w:ascii="Arial" w:hAnsi="Arial"/>
        </w:rPr>
        <w:t xml:space="preserve">Checklist : départ ou absence d'une personne clé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Document vierge — ScoreInnov — </w:t>
      </w:r>
      <w:r>
        <w:rPr>
          <w:u w:val="single"/>
          <w:color w:val="1D4ED8"/>
          <w:rFonts w:ascii="Arial" w:hAnsi="Arial"/>
        </w:rPr>
        <w:t xml:space="preserve">scoreinnov.com/modeles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Licence : CC BY 4.0. À utiliser *avant* l'absence, pas le matin du départ. Cochez uniquement ce qui est *fait*, pas ce qui est « prévu ». Un item non testé reste non testé.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Cette liste note l'organisation, jamais la personne. Qu'une seule tête tienne les accès n'est pas une faute individuelle : c'est un état, et il se corrige.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Personne concernée (rôle, pas un jugement) : _______________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Date de l'exercice ou du départ : _______________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Qui pilote cette liste : _______________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A. Ce qui s'arrête en 30 jours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Pour chaque fonction : s'arrête / se dégrade / continue. Commencer par la colonne « s'arrête ».</w:t>
      </w:r>
    </w:p>
    <w:tbl>
      <w:tblPr>
        <w:tblW w:w="9100" w:type="dxa"/>
        <w:tblLayout w:type="fixed"/>
      </w:tblPr>
      <w:tblGrid>
        <w:gridCol w:w="1820"/>
        <w:gridCol w:w="1820"/>
        <w:gridCol w:w="1820"/>
        <w:gridCol w:w="1820"/>
        <w:gridCol w:w="1820"/>
      </w:tblGrid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Fonction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S'arrête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Se dégrade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Continue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Relais nommé</w:t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Livrer / publier la production principale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Facturer et relancer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Encaisser / banque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Répondre aux clients critiques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Maintenir le site / le logiciel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Paie / social / obligations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Publicité / acquisition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Autre :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</w:tr>
    </w:tbl>
    <w:p>
      <w:pPr>
        <w:spacing w:after="80"/>
      </w:pP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B. Accès et comptes (gravité maximale)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Un coffre « quelque part » n'est pas un coffre. Le secret n'entre pas dans cette feuille : seulement le *nom* du compte et *où* le secret est rangé.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Inventaire des comptes au nom de la personne (domaine, hébergement, code, messagerie, pub, banque, facturation, cloud, IA, app stores)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Chaque compte a un titulaire entreprise, pas une adresse personnelle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Deux administrateurs par compte critique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Coffre partagé ouvert par le relais *une fois*, sans l'auteur à côté pour « juste te le montrer »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Procédure de rotation écrite pour le prochain départ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Les secrets ne figurent dans aucun e-mail, wiki, fiche de mission ou pack</w:t>
      </w:r>
    </w:p>
    <w:tbl>
      <w:tblPr>
        <w:tblW w:w="9100" w:type="dxa"/>
        <w:tblLayout w:type="fixed"/>
      </w:tblPr>
      <w:tblGrid>
        <w:gridCol w:w="1820"/>
        <w:gridCol w:w="1820"/>
        <w:gridCol w:w="1820"/>
        <w:gridCol w:w="1820"/>
        <w:gridCol w:w="1820"/>
      </w:tblGrid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Compte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Titulaire actuel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2e admin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Coffre (emplacement)</w:t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3F4F6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b/>
                <w:sz w:val="18"/>
                <w:rFonts w:ascii="Arial" w:hAnsi="Arial"/>
              </w:rPr>
              <w:t xml:space="preserve">Testé par le relais</w:t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oui / non</w:t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oui / non</w:t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oui / non</w:t>
            </w:r>
          </w:p>
        </w:tc>
      </w:tr>
      <w:tr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/>
            </w:r>
          </w:p>
        </w:tc>
        <w:tc>
          <w:tcPr>
            <w:tcW w:w="1820" w:type="dxa"/>
            <w:tcBorders>
              <top w:val="single" w:sz="4" w:space="0" w:color="CCCCCC"/>
              <left w:val="single" w:sz="4" w:space="0" w:color="CCCCCC"/>
              <bottom w:val="single" w:sz="4" w:space="0" w:color="CCCCCC"/>
              <right w:val="single" w:sz="4" w:space="0" w:color="CCCCCC"/>
            </w:tcBorders>
            <w:shd w:val="clear" w:fill="FFFFFF"/>
            <w:tcMar>
              <w:top w:w="60"/>
              <w:left w:w="80"/>
              <w:bottom w:w="60"/>
              <w:right w:w="80"/>
            </w:tcMar>
          </w:tcPr>
          <w:p>
            <w:pPr>
              <w:spacing w:before="40" w:after="40"/>
            </w:pPr>
            <w:r>
              <w:rPr>
                <w:sz w:val="18"/>
                <w:rFonts w:ascii="Arial" w:hAnsi="Arial"/>
              </w:rPr>
              <w:t xml:space="preserve">oui / non</w:t>
            </w:r>
          </w:p>
        </w:tc>
      </w:tr>
    </w:tbl>
    <w:p>
      <w:pPr>
        <w:spacing w:after="80"/>
      </w:pP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C. Livraison et production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Une deuxième personne a déjà publié ou livré *seule*, avec la procédure sous les yeux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La procédure a été corrigée après cet essai (pas la personne)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L'environnement de production n'est pas une machine unique sans alternative testée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D. Facturation et trésorerie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Deux personnes peuvent émettre une facture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Délégation bancaire signée, ou équivalent écrit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Modèle de relance prêt à envoyer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Les accès facturation ne meurent pas avec une adresse personnelle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E. Savoir-faire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Une fiche de mission existe pour chaque mission de la colonne « s'arrête » (</w:t>
      </w:r>
      <w:r>
        <w:rPr>
          <w:u w:val="single"/>
          <w:color w:val="1D4ED8"/>
          <w:rFonts w:ascii="Arial" w:hAnsi="Arial"/>
        </w:rPr>
        <w:t xml:space="preserve">modèle</w:t>
      </w:r>
      <w:r>
        <w:rPr>
          <w:rFonts w:ascii="Arial" w:hAnsi="Arial"/>
        </w:rPr>
        <w:t xml:space="preserve">)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Un seul emplacement connu pour ces fiches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Les exceptions et les décisions y sont écrites, pas seulement les étapes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Un relais est nommé *par écrit* et prévenu, pour chaque mission critique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Une heure de transfert a déjà eu lieu (pas « on le fera »)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F. Prestataires, machines, contrats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Contrats au nom de l'entreprise, pas d'un particulier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Accès et sauvegardes récupérables sans le prestataire unique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Alternative testée une fois, ou limite écrite (« pas d'alternative, délai de reconstruction : _ jours »)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G. L'exercice — la seule preuve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Cocher « prêt » ne remplace pas l'exercice.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Une mission choisie, une personne relais, une date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Le relais exécute avec les seuls moyens préparés (fiche, coffre, accès du relais)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Chaque blocage est noté, pas contourné par un appel à l'auteur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L'exercice interrompu est consigné comme interrompu, pas comme réussi</w:t>
      </w:r>
    </w:p>
    <w:p>
      <w:pPr>
        <w:ind w:left="360" w:hanging="180"/>
        <w:spacing w:before="40" w:after="40"/>
      </w:pPr>
      <w:r>
        <w:rPr>
          <w:rFonts w:ascii="Arial" w:hAnsi="Arial"/>
        </w:rPr>
        <w:t xml:space="preserve">– [ ] La fiche est corrigée, puis l'exercice est reprogrammé (six mois, mission différente)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ScoreInnov Studio, logiciel local, sert à préparer cet exercice et à en garder l'acte. Téléchargement : </w:t>
      </w:r>
      <w:r>
        <w:rPr>
          <w:u w:val="single"/>
          <w:color w:val="1D4ED8"/>
          <w:rFonts w:ascii="Arial" w:hAnsi="Arial"/>
        </w:rPr>
        <w:t xml:space="preserve">scoreinnov.com/studio</w:t>
      </w:r>
    </w:p>
    <w:p>
      <w:pPr>
        <w:pStyle w:val="Heading1"/>
        <w:spacing w:before="280" w:after="80"/>
        <w:rPr>
          <w:b/>
          <w:sz w:val="32"/>
          <w:color w:val="16243F"/>
          <w:rFonts w:ascii="Arial" w:hAnsi="Arial"/>
        </w:rPr>
      </w:pPr>
      <w:r>
        <w:rPr>
          <w:rFonts w:ascii="Arial" w:hAnsi="Arial"/>
        </w:rPr>
        <w:t xml:space="preserve">H. Ce qui reste ouvert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Écrire les inconnues. Une case vide est plus utile qu'une case cochée par optimisme.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-</w:t>
      </w:r>
    </w:p>
    <w:p>
      <w:pPr>
        <w:pStyle w:val="Normal"/>
        <w:spacing w:before="80" w:after="80"/>
        <w:rPr>
          <w:sz w:val="22"/>
          <w:color w:val="16243F"/>
          <w:rFonts w:ascii="Arial" w:hAnsi="Arial"/>
        </w:rPr>
      </w:pPr>
      <w:r>
        <w:rPr>
          <w:rFonts w:ascii="Arial" w:hAnsi="Arial"/>
        </w:rPr>
        <w:t xml:space="preserve">Pour situer l'organisation : </w:t>
      </w:r>
      <w:r>
        <w:rPr>
          <w:u w:val="single"/>
          <w:color w:val="1D4ED8"/>
          <w:rFonts w:ascii="Arial" w:hAnsi="Arial"/>
        </w:rPr>
        <w:t xml:space="preserve">Test du repreneur</w:t>
      </w:r>
      <w:r>
        <w:rPr>
          <w:rFonts w:ascii="Arial" w:hAnsi="Arial"/>
        </w:rPr>
        <w:t xml:space="preserve"> (10 questions, sans compte). Cette checklist n'est ni un audit social, ni un document de licenciement, ni un conseil juridique.</w:t>
      </w:r>
    </w:p>
    <w:sectPr>
      <w:headerReference w:type="default" r:id="rId1"/>
      <w:footerReference w:type="default" r:id="rId2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4" w:color="CCCCCC"/>
      </w:pBdr>
    </w:pPr>
    <w:r>
      <w:rPr>
        <w:sz w:val="16"/>
        <w:color w:val="5D6B85"/>
        <w:rFonts w:ascii="Arial" w:hAnsi="Arial"/>
      </w:rPr>
      <w:t>CC BY 4.0 · scoreinnov.com/modeles · document vierge, pas une preuve de reprise</w:t>
    </w:r>
  </w:p>
</w:ftr>
</file>

<file path=word/header1.xml><?xml version="1.0" encoding="utf-8"?>
<w:hdr xmlns:w="http://schemas.openxmlformats.org/wordprocessingml/2006/main">
  <w:p>
    <w:pPr>
      <w:pBdr>
        <w:bottom w:val="single" w:sz="6" w:space="4" w:color="B8860B"/>
      </w:pBdr>
    </w:pPr>
    <w:r>
      <w:rPr>
        <w:sz w:val="18"/>
        <w:color w:val="5D6B85"/>
        <w:rFonts w:ascii="Arial" w:hAnsi="Arial"/>
      </w:rPr>
      <w:t>ScoreInnov · Checklist départ d'une personne clé</w:t>
    </w:r>
  </w:p>
</w:hdr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  <w:rFonts w:ascii="Arial" w:hAnsi="Arial"/>
    </w:rPr>
  </w:style>
  <w:style w:type="paragraph" w:styleId="Title">
    <w:name w:val="Title"/>
    <w:pPr>
      <w:outlineLvl w:val="2"/>
    </w:pPr>
    <w:rPr>
      <w:b/>
      <w:sz w:val="36"/>
      <w:rFonts w:ascii="Arial" w:hAnsi="Arial"/>
    </w:rPr>
  </w:style>
  <w:style w:type="paragraph" w:styleId="Heading1">
    <w:name w:val="heading 1"/>
    <w:pPr>
      <w:outlineLvl w:val="0"/>
    </w:pPr>
    <w:rPr>
      <w:b/>
      <w:sz w:val="32"/>
      <w:rFonts w:ascii="Arial" w:hAnsi="Arial"/>
    </w:rPr>
  </w:style>
  <w:style w:type="paragraph" w:styleId="Heading2">
    <w:name w:val="heading 2"/>
    <w:pPr>
      <w:outlineLvl w:val="1"/>
    </w:pPr>
    <w:rPr>
      <w:b/>
      <w:sz w:val="26"/>
      <w:rFonts w:ascii="Arial" w:hAnsi="Arial"/>
    </w:rPr>
  </w:style>
  <w:style w:type="paragraph" w:styleId="Heading3">
    <w:name w:val="heading 3"/>
    <w:pPr>
      <w:outlineLvl w:val="2"/>
    </w:pPr>
    <w:rPr>
      <w:b/>
      <w:sz w:val="24"/>
      <w:rFonts w:ascii="Arial" w:hAnsi="Aria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/><Relationship Id="rId2" Type="http://schemas.openxmlformats.org/officeDocument/2006/relationships/footer" Target="footer1.xml"/><Relationship Id="rId3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ScoreInnov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Checklist départ d'une personne clé</dc:title>
  <dc:creator>ScoreInnov</dc:creator>
  <cp:lastModifiedBy>ScoreInnov</cp:lastModifiedBy>
</cp:coreProperties>
</file>